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Скорая медицинская помощь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Скорая медицинская помощь | Записей: 1 | Кейс: 2 | Вопросов: 12</w:t>
      </w:r>
    </w:p>
    <w:p>
      <w:r>
        <w:br w:type="page"/>
      </w:r>
    </w:p>
    <w:p>
      <w:pPr>
        <w:pStyle w:val="Heading1"/>
      </w:pPr>
      <w:r>
        <w:t>Скорая медицинская помощь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Скорая медицинская помощь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60 лет доставлена в стационар бригадой скорой помощи.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слабость, жажду, головную боль.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течение 8 лет сахарный диабет 2 типа, постоянно принимает метформин. Последнюю неделю получает инъекции дексаметазона, по поводу радикулопатии.</w:t>
      </w:r>
    </w:p>
    <w:p>
      <w:pPr>
        <w:spacing w:after="58"/>
      </w:pPr>
      <w:r>
        <w:rPr>
          <w:b w:val="0"/>
          <w:i w:val="0"/>
        </w:rPr>
        <w:t>Последние 3 дня отмечает общую слабость, сухость во рту, при измерении глюкозы капиллярной крови повышение до 30 ммоль, в связи с чем вызвала скорую помощь.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 анамнезе хроническая гипертоническая болезнь.</w:t>
      </w:r>
    </w:p>
    <w:p>
      <w:pPr>
        <w:spacing w:after="58"/>
      </w:pPr>
      <w:r>
        <w:rPr>
          <w:b w:val="0"/>
          <w:i w:val="0"/>
        </w:rPr>
        <w:t>* Не курит, алкоголь не употребляет.</w:t>
      </w:r>
    </w:p>
    <w:p>
      <w:pPr>
        <w:spacing w:after="58"/>
      </w:pPr>
      <w:r>
        <w:rPr>
          <w:b w:val="0"/>
          <w:i w:val="0"/>
        </w:rPr>
        <w:t>* Аллергологический анамнез без особенностей.</w:t>
      </w:r>
    </w:p>
    <w:p>
      <w:pPr>
        <w:spacing w:after="58"/>
      </w:pPr>
      <w:r>
        <w:rPr>
          <w:b w:val="0"/>
          <w:i w:val="0"/>
        </w:rPr>
        <w:t>* Оперативные вмешательства: холецистэктомия 5 лет назад, кесарево сечение 40 лет назад.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состояние: средней степени тяжести.</w:t>
      </w:r>
    </w:p>
    <w:p>
      <w:pPr>
        <w:spacing w:after="58"/>
      </w:pPr>
      <w:r>
        <w:rPr>
          <w:b w:val="0"/>
          <w:i w:val="0"/>
        </w:rPr>
        <w:t>Сознание: ШКГ 15. Конституция: гиперстеник, рост, см: 162, вес, кг: 82.0. Кожные покровы: сухие. Отеки: нет. Сердечно-сосудистая система: Аускультация сердца: сердечные тоны приглушены, Пульс: 98 уд/мин, АД: 160\80 мм рт. ст.</w:t>
      </w:r>
    </w:p>
    <w:p>
      <w:pPr>
        <w:spacing w:after="58"/>
      </w:pPr>
      <w:r>
        <w:rPr>
          <w:b w:val="0"/>
          <w:i w:val="0"/>
        </w:rPr>
        <w:t>Дыхание: самостоятельное. Аускультация легких: дыхание жесткое, частота дыхания 20 в минуту.</w:t>
      </w:r>
    </w:p>
    <w:p>
      <w:pPr>
        <w:spacing w:after="58"/>
      </w:pPr>
      <w:r>
        <w:rPr>
          <w:b w:val="0"/>
          <w:i w:val="0"/>
        </w:rPr>
        <w:t>Запах ацетона в выдыхаемом воздухе. Сатурация О2: 97%.</w:t>
      </w:r>
    </w:p>
    <w:p>
      <w:pPr>
        <w:spacing w:after="58"/>
      </w:pPr>
      <w:r>
        <w:rPr>
          <w:b w:val="0"/>
          <w:i w:val="0"/>
        </w:rPr>
        <w:t>Желудочно-кишечный тракт: язык: обложен, живот при пальпации: диффузно-болезненный, симптомы раздражения брюшины: отрицательные. Симптом поколачивания по пояснице: отрицательный.</w:t>
      </w:r>
    </w:p>
    <w:p>
      <w:pPr>
        <w:spacing w:after="58"/>
      </w:pPr>
      <w:r>
        <w:rPr>
          <w:b w:val="0"/>
          <w:i w:val="0"/>
        </w:rPr>
        <w:t>Без очаговой неврологической симптоматики.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лабораторным исследованиям, необходимым для постановки диагноза,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Д-димер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общий анализ мочи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тропонин I высокочувствительный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определение КОС и газов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диастаза в моче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общий анализ мочи; биохимический анализ крови; определение КОС и газов крови</w:t>
      </w:r>
    </w:p>
    <w:p>
      <w:pPr>
        <w:ind w:left="504"/>
      </w:pPr>
      <w:r>
        <w:rPr>
          <w:b w:val="0"/>
          <w:i/>
        </w:rPr>
        <w:t>Таблица 15. Лабораторные изменения: диагностика и дифференциальная диагностика</w:t>
        <w:br/>
        <w:br/>
        <w:t xml:space="preserve"> a| *Общий клинический анализ крови* a| *Лейкоцитоз: &lt; 15000 стрессовый, &gt; 15000 инфекция*</w:t>
        <w:br/>
        <w:br/>
        <w:t xml:space="preserve"> a| Общий анализ мочи a| Глюкозурия, кетонурия, протеинурия (непостоянно)</w:t>
        <w:br/>
        <w:br/>
        <w:t xml:space="preserve"> a| Биохимический анализ крови a| Гипергликемия, гиперкетонемия Повышение креатинина (непостоянно; чаще указывает на транзиторную «преренальную» почечную недостаточность, вызванную гиповолемией)Транзиторное повышение трансаминаз и креатинфосфокиназы (протеолиз)</w:t>
        <w:br/>
        <w:br/>
        <w:t>Na{plus} чаще нормальный, реже снижен или повышен</w:t>
        <w:br/>
        <w:br/>
        <w:t>К{plus} чаще нормальный, реже снижен, при ХБП &gt;C3 может быть повышен</w:t>
        <w:br/>
        <w:br/>
        <w:t>Умеренное повышение амилазы (не является признаком о. панкреатита)</w:t>
        <w:br/>
        <w:br/>
        <w:t xml:space="preserve"> a| КЩС a| Декомпенсированный метаболический ацидоз</w:t>
        <w:br/>
        <w:br/>
        <w:t>{nbsp}</w:t>
        <w:br/>
        <w:br/>
      </w:r>
      <w:hyperlink r:id="rId9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Таблица 15. Лабораторные изменения: диагностика и дифференциальная диагностика</w:t>
        <w:br/>
        <w:br/>
        <w:t xml:space="preserve"> a| *Общий клинический анализ крови* a| *Лейкоцитоз: &lt; 15000 стрессовый, &gt; 15000 инфекция*</w:t>
        <w:br/>
        <w:br/>
        <w:t xml:space="preserve"> a| Общий анализ мочи a| Глюкозурия, кетонурия, протеинурия (непостоянно)</w:t>
        <w:br/>
        <w:br/>
        <w:t xml:space="preserve"> a| Биохимический анализ крови a| Гипергликемия, гиперкетонемия Повышение креатинина (непостоянно; чаще указывает на транзиторную «преренальную» почечную недостаточность, вызванную гиповолемией)Транзиторное повышение трансаминаз и креатинфосфокиназы (протеолиз)</w:t>
        <w:br/>
        <w:br/>
        <w:t>Na{plus} чаще нормальный, реже снижен или повышен</w:t>
        <w:br/>
        <w:br/>
        <w:t>К{plus} чаще нормальный, реже снижен, при ХБП &gt;C3 может быть повышен Умеренное повышение амилазы (не является признаком о. панкреатита)</w:t>
        <w:br/>
        <w:br/>
        <w:t xml:space="preserve"> a| КЩС a| Декомпенсированный метаболический ацидоз</w:t>
        <w:br/>
        <w:br/>
        <w:t>{nbsp}</w:t>
        <w:br/>
        <w:br/>
      </w:r>
      <w:hyperlink r:id="rId9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Таблица 15. Лабораторные изменения: диагностика и дифференциальная диагностика</w:t>
        <w:br/>
        <w:br/>
        <w:t xml:space="preserve"> a| *Общий клинический анализ крови* a| *Лейкоцитоз: &lt; 15000 стрессовый, &gt; 15000 инфекция*</w:t>
        <w:br/>
        <w:br/>
        <w:t xml:space="preserve"> a| Общий анализ мочи a| Глюкозурия, кетонурия, протеинурия (непостоянно)</w:t>
        <w:br/>
        <w:br/>
        <w:t xml:space="preserve"> a| Биохимический анализ крови a| Гипергликемия, гиперкетонемия Повышение креатинина (непостоянно; чаще указывает на транзиторную «преренальную» почечную недостаточность, вызванную гиповолемией)Транзиторное повышение трансаминаз и креатинфосфокиназы (протеолиз)</w:t>
        <w:br/>
        <w:br/>
        <w:t>Na{plus} чаще нормальный, реже снижен или повышен</w:t>
        <w:br/>
        <w:br/>
        <w:t>К{plus} чаще нормальный, реже снижен, при ХБП &gt;C3 может быть повышен</w:t>
        <w:br/>
        <w:br/>
        <w:t>Умеренное повышение амилазы (не является признаком о. панкреатита)</w:t>
        <w:br/>
        <w:br/>
        <w:t xml:space="preserve"> a| КЩС a| Декомпенсированный метаболический ацидоз</w:t>
        <w:br/>
        <w:br/>
        <w:t>{nbsp}</w:t>
        <w:br/>
        <w:br/>
      </w:r>
      <w:hyperlink r:id="rId9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лабораторных методов исследования</w:t>
      </w:r>
    </w:p>
    <w:p>
      <w:pPr>
        <w:pStyle w:val="Heading3"/>
      </w:pPr>
      <w:r>
        <w:t>3.1. Общий анализ мочи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</w:tcPr>
          <w:p>
            <w:r>
              <w:rPr>
                <w:b/>
                <w:i w:val="0"/>
              </w:rPr>
              <w:t>*Показатель*</w:t>
            </w:r>
          </w:p>
        </w:tc>
        <w:tc>
          <w:tcPr>
            <w:tcW w:type="dxa" w:w="5112"/>
          </w:tcPr>
          <w:p>
            <w:r>
              <w:rPr>
                <w:b/>
                <w:i w:val="0"/>
              </w:rPr>
              <w:t>*Результат*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Количество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50 мл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Цвет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соломенно-желтая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Прозрачность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мутная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Отн. плотность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1.030  г/мл  (1.012 - 1.025)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Нитриты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обнаружены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Белок п/к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0,5 г/л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Глюкоза п/к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45 ммоль/л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Кетоновые тела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++</w:t>
            </w:r>
          </w:p>
        </w:tc>
      </w:tr>
    </w:tbl>
    <w:p/>
    <w:p>
      <w:pPr>
        <w:pStyle w:val="Heading3"/>
      </w:pPr>
      <w:r>
        <w:t>3.2. Определение КОС и газов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*Показатель*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*Результат*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*Ед.изм.*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*Норма*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рН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7.23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(7.350 - 7.450)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рСО2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30.6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mmHg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(35.0 - 45.0)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рО2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94.9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mmHg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(80.0 - 100.0)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HCO3act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10.7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(21.0 - 28.0)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O2 SAT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95.6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  <w:tc>
          <w:tcPr>
            <w:tcW w:type="dxa" w:w="2556"/>
          </w:tcPr>
          <w:p/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Калий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3.50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(3.50 - 4.50)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Натрий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135.0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(135.0 - 148.0)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Кальций ионизиров.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1.14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(1.12 - 1.32)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Глюкоза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34.90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/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Лактат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2.20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/>
        </w:tc>
      </w:tr>
    </w:tbl>
    <w:p/>
    <w:p>
      <w:pPr>
        <w:pStyle w:val="Heading3"/>
      </w:pPr>
      <w:r>
        <w:t>3.3. Биохимический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*Показатели*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*Результат*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*Норма*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*Ед.измерения*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Общий белок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68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65-85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Альбумин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48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35-52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г\л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Креатинин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133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45-130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мкмоль/л: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Мочевина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8.3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3.2-8.2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ммоль/л: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Калий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3.5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3.8-5.3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Натрий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135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135-152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Билирубин общий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8.5-20.5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мкмоль\л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Билирубин прямой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Билирубин непрямой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17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Аланин-аминотрансфераза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45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0-40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eu/l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Аспартат-аминотрансфераза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0-40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eu/l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Амилаза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4,7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3,3-9,0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eu/l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Глюкоза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35,1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3,0-6,1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eu/l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/>
        </w:tc>
      </w:tr>
    </w:tbl>
    <w:p/>
    <w:p>
      <w:pPr>
        <w:pStyle w:val="Heading3"/>
      </w:pPr>
      <w:r>
        <w:t>3.4. Диастаза в моче</w:t>
      </w:r>
    </w:p>
    <w:p>
      <w:pPr>
        <w:spacing w:after="58"/>
      </w:pPr>
      <w:r>
        <w:rPr>
          <w:b w:val="0"/>
          <w:i w:val="0"/>
        </w:rPr>
        <w:t>230  Ед/л        (10-490 Ед/л)</w:t>
      </w:r>
    </w:p>
    <w:p>
      <w:pPr>
        <w:pStyle w:val="Heading3"/>
      </w:pPr>
      <w:r>
        <w:t>3.5. Д-димер</w:t>
      </w:r>
    </w:p>
    <w:p>
      <w:pPr>
        <w:spacing w:after="58"/>
      </w:pPr>
      <w:r>
        <w:rPr>
          <w:b w:val="0"/>
          <w:i w:val="0"/>
        </w:rPr>
        <w:t>0, 01  (0 - 0,55 мкг FEU /мл)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Наиболее вероятным диагнозом у данной пациентки с учетом лабораторных данных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Диабетический кетоацидоз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Гипергликемическая кома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Лактат-ацидоз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Острая печеночная недостаточность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Диабетический кетоацидоз</w:t>
      </w:r>
    </w:p>
    <w:p>
      <w:pPr>
        <w:ind w:left="504"/>
      </w:pPr>
      <w:r>
        <w:rPr>
          <w:b w:val="0"/>
          <w:i/>
        </w:rPr>
        <w:t>ДКА – требующая экстренной госпитализации острая декомпенсация СД, с гипергликемией (уровень глюкозы плазмы &gt; 13 ммоль/л у взрослых и &gt; 11 ммоль/л у детей), гиперкетонемией (&gt; 5 ммоль/л), кетонурией (≥ {plus}{plus}), метаболическим ацидозом (рН &lt; 7,3) и различной степенью нарушения сознания или без нее.</w:t>
        <w:br/>
        <w:br/>
      </w:r>
      <w:hyperlink r:id="rId9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Диагноз</w:t>
      </w:r>
    </w:p>
    <w:p>
      <w:pPr>
        <w:pStyle w:val="Heading3"/>
      </w:pPr>
      <w:r>
        <w:t>5.1. Диабетический кетоацидоз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Определите степень тяжести данного состояния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умеренная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очень тяжелая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легкая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тяжелая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умеренная</w:t>
      </w:r>
    </w:p>
    <w:p>
      <w:pPr>
        <w:ind w:left="504"/>
      </w:pPr>
      <w:r>
        <w:rPr>
          <w:b w:val="0"/>
          <w:i/>
        </w:rPr>
        <w:t>Классификация ДКА по степени тяжести</w:t>
        <w:br/>
        <w:br/>
        <w:t xml:space="preserve"> a| *Показатели* 3+a| *Степень тяжести ДКА*</w:t>
        <w:br/>
        <w:br/>
        <w:t xml:space="preserve"> a|    a| *легкая* a| *умеренная* a| *тяжелая*</w:t>
        <w:br/>
        <w:br/>
        <w:t xml:space="preserve"> a| Глюкоза плазмы (ммоль/л) a| &gt;13 a| &gt;13 a| &gt;13</w:t>
        <w:br/>
        <w:br/>
        <w:t xml:space="preserve"> a| Калий сыворотки a| &gt;3.5 a| &gt;3.5 a| &lt;3.5 до начала лечения</w:t>
        <w:br/>
        <w:br/>
        <w:t xml:space="preserve"> a| рН артериальной крови1 a| &lt;7.3 a| &lt;7.25 a| &lt;7.0</w:t>
        <w:br/>
        <w:br/>
        <w:t xml:space="preserve"> a| Бикарбонат сыворотки (мэкв/л) a| 15 - 18 a| 10 - 15 a| &lt;10</w:t>
        <w:br/>
        <w:br/>
        <w:t xml:space="preserve"> a| Кетоновые тела в моче a| + a| {plus}{plus}  a| {plus}{plus}{plus}</w:t>
        <w:br/>
        <w:br/>
        <w:t xml:space="preserve"> a| Кетоновые тела в сыворотке a| ↑↑ a| ↑↑ a| ↑↑↑↑↑↑</w:t>
        <w:br/>
        <w:br/>
        <w:t xml:space="preserve"> a| Эффективная осмоляльность сыворотки (мосмоль/кг)2 a| Вариабельна a| Вариабельна a| Вариабельна</w:t>
        <w:br/>
        <w:br/>
        <w:t xml:space="preserve"> a| Анионная разница3^ a| &gt;10 a| &gt;12 a| &gt;14</w:t>
        <w:br/>
        <w:br/>
        <w:t xml:space="preserve"> a| САД, мм рт. ст. a|</w:t>
        <w:br/>
        <w:br/>
        <w:t xml:space="preserve"> a|</w:t>
        <w:br/>
        <w:br/>
        <w:t xml:space="preserve"> a| &lt;90</w:t>
        <w:br/>
        <w:br/>
        <w:t xml:space="preserve"> a| ЧСС a|</w:t>
        <w:br/>
        <w:br/>
        <w:t xml:space="preserve"> a|</w:t>
        <w:br/>
        <w:br/>
        <w:t xml:space="preserve"> a| &gt;100 или &lt;60</w:t>
        <w:br/>
        <w:br/>
        <w:t xml:space="preserve"> a| Нарушение сознания a| Ясное a| Ясное или сонливость a| Сопор или кома</w:t>
        <w:br/>
        <w:br/>
        <w:t>{nbsp}</w:t>
        <w:br/>
        <w:br/>
      </w:r>
      <w:hyperlink r:id="rId9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План обследования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Данной пациентке показано лечение в условиях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терапевтического отделения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отделения реанимации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эндокринологического отделения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дневного стационара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отделения реанимации</w:t>
      </w:r>
    </w:p>
    <w:p>
      <w:pPr>
        <w:ind w:left="504"/>
      </w:pPr>
      <w:r>
        <w:rPr>
          <w:b w:val="0"/>
          <w:i/>
        </w:rPr>
        <w:t>Все больные с описанными гипергликемическими состояниями нуждаются в госпитализации в стационар с последующей госпитализацией в ОРИТ.</w:t>
        <w:br/>
        <w:br/>
      </w:r>
      <w:hyperlink r:id="rId9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Провоцирующим фактором развития данного состояния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длительная физическая нагрузка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надпочечниковая недостаточность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терапия стероидами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самостоятельное увеличение дозы инсулина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терапия стероидами</w:t>
      </w:r>
    </w:p>
    <w:p>
      <w:pPr>
        <w:ind w:left="504"/>
      </w:pPr>
      <w:r>
        <w:rPr>
          <w:b w:val="0"/>
          <w:i/>
        </w:rPr>
        <w:t>Провоцирующие факторы:</w:t>
        <w:br/>
        <w:br/>
        <w:t>* интеркуррентные заболевания, операции и травмы;</w:t>
        <w:br/>
        <w:br/>
        <w:t>* пропуск или отмена инсулина больными, ошибки в технике инъекций, неисправность средств для введения инсулина;</w:t>
        <w:br/>
        <w:br/>
        <w:t>* недостаточный самоконтроль гликемии, невыполнение больными правил самостоятельного повышения дозы инсулина;</w:t>
        <w:br/>
        <w:br/>
        <w:t>* манифестация СД, особенно 1 типа;</w:t>
        <w:br/>
        <w:br/>
        <w:t>* врачебные ошибки: несвоевременное назначение или неадекватная коррекция дозы инсулина;</w:t>
        <w:br/>
        <w:br/>
        <w:t>* хроническая терапия стероидами, атипичными нейролептиками и др.;</w:t>
        <w:br/>
        <w:br/>
        <w:t>* беременность.</w:t>
        <w:br/>
        <w:br/>
      </w:r>
      <w:hyperlink r:id="rId9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Сразу при поступлении необходимо начать инфузию раствора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NaCl 10%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NaCl 0,9%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реополиглюкин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рингера-лактат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NaCl 0,9%</w:t>
      </w:r>
    </w:p>
    <w:p>
      <w:pPr>
        <w:ind w:left="504"/>
      </w:pPr>
      <w:r>
        <w:rPr>
          <w:b w:val="0"/>
          <w:i/>
        </w:rPr>
        <w:t>На догоспитальном этапе или в приемном отделении:</w:t>
        <w:br/>
        <w:br/>
        <w:t>* Экспресс-анализ гликемии и анализ любой порции мочи на кетоновые тела;</w:t>
        <w:br/>
        <w:br/>
        <w:t>* Инсулин короткого действия (ИКД) 20 ед в/м;</w:t>
        <w:br/>
        <w:br/>
        <w:t>* 0,9%-ный раствор хлорида натрия в/в капельно со скоростью 1 л/ч.</w:t>
        <w:br/>
        <w:br/>
      </w:r>
      <w:hyperlink r:id="rId9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Показанием к введению бикарбоната натрия является рН крови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≤ 7,35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&gt;7,5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&gt;7,46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≤ 6,9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≤ 6,9</w:t>
      </w:r>
    </w:p>
    <w:p>
      <w:pPr>
        <w:ind w:left="504"/>
      </w:pPr>
      <w:r>
        <w:rPr>
          <w:b w:val="0"/>
          <w:i/>
        </w:rPr>
        <w:t>Показания к введению бикарбоната натрия: рН крови ≤ 6,9 или уровень стандартного бикарбоната &lt; 5 ммоль/л. Обычно вводится 4 г бикарбоната натрия (200 мл 2% раствора в/в медленно за 1 ч), максимальная доза не более 8 г бикарбоната (400 мл 2% раствора за 2 ч).</w:t>
        <w:br/>
        <w:br/>
      </w:r>
      <w:hyperlink r:id="rId9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На начальных этапах терапии необходим анализ на кетоновые тела в моче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2 раза в день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каждый час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каждые 30 минут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каждые 2 дня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 раза в день</w:t>
      </w:r>
    </w:p>
    <w:p>
      <w:pPr>
        <w:ind w:left="504"/>
      </w:pPr>
      <w:r>
        <w:rPr>
          <w:b w:val="0"/>
          <w:i/>
        </w:rPr>
        <w:t>Анализ мочи на кетоновые тела – 2 раза в сутки в первые 2 суток, затем 1 раз в сутки.</w:t>
        <w:br/>
        <w:br/>
      </w:r>
      <w:hyperlink r:id="rId9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Начальная доза инсулина короткого действия для внутривенного болюсного введения _____ ед/кг реальной массы тела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1-2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0,8-1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0,1-0,15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0,5-0,6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0,1-0,15</w:t>
      </w:r>
    </w:p>
    <w:p>
      <w:pPr>
        <w:ind w:left="504"/>
      </w:pPr>
      <w:r>
        <w:rPr>
          <w:b w:val="0"/>
          <w:i/>
        </w:rPr>
        <w:t>Начальная доза ИКД: 0,1-0,15 ед/кг реальной массы тела в/в болюсно. Необходимую дозу набирают в инсулиновый шприц, добирают 0,9% раствором NaCl до 1 мл и вводят очень медленно (2–3 мин). Если болюсная доза инсулина не вводится, то начальная скорость непрерывной инфузии должна составлять 0,1-0,15 ед/кг/ч.</w:t>
        <w:br/>
        <w:br/>
      </w:r>
      <w:hyperlink r:id="rId9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непрерывной инфузии инсулина для предотвращения сорбции инсулина в системе необходимо к раствору NaCl 0,9% добавить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раствор NaCl 10%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раствор глюкозы 40%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инсулин длительного действия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раствор альбумина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раствор альбумина</w:t>
      </w:r>
    </w:p>
    <w:p>
      <w:pPr>
        <w:ind w:left="504"/>
      </w:pPr>
      <w:r>
        <w:rPr>
          <w:b w:val="0"/>
          <w:i/>
        </w:rPr>
        <w:t>Вариант 1 (через инфузомат): непрерывная инфузия 0,1 ед/кг/ч. Приготовление инфузионной смеси: 50 ед ИКД {plus} 2 мл 20% раствора альбумина или 1 мл крови пациента (для предотвращения сорбции инсулина в системе, которая составляет 10–50% дозы); объем доводят до 50 мл 0,9% раствором NaCl.</w:t>
        <w:br/>
        <w:br/>
      </w:r>
      <w:hyperlink r:id="rId9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первые сутки следует не снижать уровень глюкозы менее +_____+ ммоль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25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13</w:t>
      </w:r>
    </w:p>
    <w:p>
      <w:pPr>
        <w:ind w:left="504"/>
      </w:pPr>
      <w:r>
        <w:rPr>
          <w:b w:val="0"/>
          <w:i/>
        </w:rPr>
        <w:t>Скорость снижения ГП – не более 4 ммоль/л/ч (опасность обратного осмотического градиента между внутри и внеклеточным пространством и отека мозга); в первые сутки следует не снижать уровень ГП менее 13–15 ммоль/л</w:t>
        <w:br/>
        <w:br/>
      </w:r>
      <w:hyperlink r:id="rId9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Начальная скорость регидратации с помощью 0.9% раствора NaCl _____ мл/кг массы тела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100-150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1-2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3-5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15-20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15-20</w:t>
      </w:r>
    </w:p>
    <w:p>
      <w:pPr>
        <w:ind w:left="504"/>
      </w:pPr>
      <w:r>
        <w:rPr>
          <w:b w:val="0"/>
          <w:i/>
        </w:rPr>
        <w:t>Начальная скорость регидратации с помощью 0.9% раствора NaCl: в 1-й час 1-1.5 л, или 15 – 20 мл/кг массы тела</w:t>
        <w:br/>
        <w:br/>
      </w:r>
      <w:hyperlink r:id="rId9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диабетом. Под редакцией И.И. Дедова, М.В. Шестаковой, А.Ю. Майорова. 11-й выпуск, 2023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2023_alg_sum/" TargetMode="External"/><Relationship Id="rId10" Type="http://schemas.openxmlformats.org/officeDocument/2006/relationships/hyperlink" Target="https://library.mededtech.ru/rest/documents/2023_alg_sum/#table_il18mo" TargetMode="External"/><Relationship Id="rId11" Type="http://schemas.openxmlformats.org/officeDocument/2006/relationships/hyperlink" Target="https://library.mededtech.ru/rest/documents/2023_alg_sum/#table_f811ff" TargetMode="External"/><Relationship Id="rId12" Type="http://schemas.openxmlformats.org/officeDocument/2006/relationships/hyperlink" Target="https://library.mededtech.ru/rest/documents/2023_alg_sum/#paragraph_3uq1e5" TargetMode="External"/><Relationship Id="rId13" Type="http://schemas.openxmlformats.org/officeDocument/2006/relationships/hyperlink" Target="https://library.mededtech.ru/rest/documents/2023_alg_sum/#table_4ct80n" TargetMode="External"/><Relationship Id="rId14" Type="http://schemas.openxmlformats.org/officeDocument/2006/relationships/hyperlink" Target="https://library.mededtech.ru/rest/documents/2023_alg_sum/#list_item_0324pf" TargetMode="External"/><Relationship Id="rId15" Type="http://schemas.openxmlformats.org/officeDocument/2006/relationships/hyperlink" Target="https://library.mededtech.ru/rest/documents/2023_alg_sum/#paragraph_kdcqeu" TargetMode="External"/><Relationship Id="rId16" Type="http://schemas.openxmlformats.org/officeDocument/2006/relationships/hyperlink" Target="https://library.mededtech.ru/rest/documents/2023_alg_sum/#list_item_nid3sa" TargetMode="External"/><Relationship Id="rId17" Type="http://schemas.openxmlformats.org/officeDocument/2006/relationships/hyperlink" Target="https://library.mededtech.ru/rest/documents/2023_alg_sum/#list_item_5f3lsd" TargetMode="External"/><Relationship Id="rId18" Type="http://schemas.openxmlformats.org/officeDocument/2006/relationships/hyperlink" Target="https://library.mededtech.ru/rest/documents/2023_alg_sum/#list_item_u110bg" TargetMode="External"/><Relationship Id="rId19" Type="http://schemas.openxmlformats.org/officeDocument/2006/relationships/hyperlink" Target="https://library.mededtech.ru/rest/documents/2023_alg_sum/#paragraph_j3u72a" TargetMode="External"/><Relationship Id="rId20" Type="http://schemas.openxmlformats.org/officeDocument/2006/relationships/hyperlink" Target="https://library.mededtech.ru/rest/documents/2023_alg_sum/#paragraph_k2j6t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